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F5" w:rsidRPr="00044BF5" w:rsidRDefault="00044BF5" w:rsidP="001373F4">
      <w:pPr>
        <w:jc w:val="center"/>
        <w:rPr>
          <w:rStyle w:val="anegp0gi0b9av8jahpyh"/>
          <w:rFonts w:ascii="Times New Roman" w:hAnsi="Times New Roman" w:cs="Times New Roman"/>
          <w:b/>
          <w:sz w:val="24"/>
          <w:szCs w:val="24"/>
        </w:rPr>
      </w:pPr>
      <w:proofErr w:type="spellStart"/>
      <w:r w:rsidRPr="00044BF5">
        <w:rPr>
          <w:rStyle w:val="anegp0gi0b9av8jahpyh"/>
          <w:rFonts w:ascii="Times New Roman" w:hAnsi="Times New Roman" w:cs="Times New Roman"/>
          <w:b/>
          <w:sz w:val="24"/>
          <w:szCs w:val="24"/>
        </w:rPr>
        <w:t>Тізілім</w:t>
      </w:r>
      <w:proofErr w:type="spellEnd"/>
      <w:r w:rsidRPr="00044B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4C2" w:rsidRPr="00044BF5" w:rsidRDefault="00044BF5" w:rsidP="001373F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proofErr w:type="gramStart"/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қызметтегі</w:t>
      </w:r>
      <w:r w:rsidRPr="00044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ішкі</w:t>
      </w:r>
      <w:proofErr w:type="spellEnd"/>
      <w:r w:rsidRPr="00044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талдау</w:t>
      </w:r>
      <w:proofErr w:type="spellEnd"/>
      <w:r w:rsidRPr="00044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қорытындылары</w:t>
      </w:r>
      <w:r w:rsidRPr="00044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4BF5">
        <w:rPr>
          <w:rFonts w:ascii="Times New Roman" w:hAnsi="Times New Roman" w:cs="Times New Roman"/>
          <w:b/>
          <w:i/>
          <w:sz w:val="24"/>
          <w:szCs w:val="24"/>
        </w:rPr>
        <w:t>бойынша</w:t>
      </w:r>
      <w:proofErr w:type="spellEnd"/>
      <w:r w:rsidRPr="00044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4BF5">
        <w:rPr>
          <w:rFonts w:ascii="Times New Roman" w:hAnsi="Times New Roman" w:cs="Times New Roman"/>
          <w:b/>
          <w:i/>
          <w:sz w:val="24"/>
          <w:szCs w:val="24"/>
        </w:rPr>
        <w:t>сыбайлас</w:t>
      </w:r>
      <w:proofErr w:type="spellEnd"/>
      <w:r w:rsidRPr="00044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жемқорлық</w:t>
      </w:r>
      <w:r w:rsidRPr="00044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тәуекелдерін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«</w:t>
      </w:r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СҚО</w:t>
      </w:r>
      <w:r w:rsidRPr="00044BF5">
        <w:rPr>
          <w:rFonts w:ascii="Times New Roman" w:hAnsi="Times New Roman" w:cs="Times New Roman"/>
          <w:b/>
          <w:i/>
          <w:sz w:val="24"/>
          <w:szCs w:val="24"/>
        </w:rPr>
        <w:t xml:space="preserve"> әкімдігінің ветеринария </w:t>
      </w:r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басқармасы</w:t>
      </w:r>
      <w:r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КММ</w:t>
      </w:r>
      <w:r w:rsidRPr="00044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«</w:t>
      </w:r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Ғабит</w:t>
      </w:r>
      <w:r w:rsidRPr="00044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Мүсірепов</w:t>
      </w:r>
      <w:r w:rsidRPr="00044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атындағы</w:t>
      </w:r>
      <w:r w:rsidRPr="00044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ауданның</w:t>
      </w:r>
      <w:r w:rsidRPr="00044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ветеринариялық</w:t>
      </w:r>
      <w:r w:rsidRPr="00044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ста</w:t>
      </w:r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н</w:t>
      </w:r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циясы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44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ШЖҚ</w:t>
      </w:r>
      <w:r w:rsidRPr="00044B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BF5">
        <w:rPr>
          <w:rStyle w:val="anegp0gi0b9av8jahpyh"/>
          <w:rFonts w:ascii="Times New Roman" w:hAnsi="Times New Roman" w:cs="Times New Roman"/>
          <w:b/>
          <w:i/>
          <w:sz w:val="24"/>
          <w:szCs w:val="24"/>
        </w:rPr>
        <w:t>МКК</w:t>
      </w:r>
      <w:r>
        <w:rPr>
          <w:rFonts w:ascii="Times New Roman" w:hAnsi="Times New Roman" w:cs="Times New Roman"/>
          <w:b/>
          <w:i/>
          <w:sz w:val="24"/>
          <w:szCs w:val="24"/>
        </w:rPr>
        <w:t>-н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ы</w:t>
      </w:r>
      <w:proofErr w:type="gramEnd"/>
    </w:p>
    <w:tbl>
      <w:tblPr>
        <w:tblStyle w:val="a3"/>
        <w:tblW w:w="15021" w:type="dxa"/>
        <w:tblLayout w:type="fixed"/>
        <w:tblLook w:val="04A0"/>
      </w:tblPr>
      <w:tblGrid>
        <w:gridCol w:w="679"/>
        <w:gridCol w:w="1443"/>
        <w:gridCol w:w="992"/>
        <w:gridCol w:w="1984"/>
        <w:gridCol w:w="6804"/>
        <w:gridCol w:w="3119"/>
      </w:tblGrid>
      <w:tr w:rsidR="0089526E" w:rsidRPr="00044BF5" w:rsidTr="00824AF7">
        <w:tc>
          <w:tcPr>
            <w:tcW w:w="679" w:type="dxa"/>
          </w:tcPr>
          <w:p w:rsidR="0089526E" w:rsidRPr="00044BF5" w:rsidRDefault="00044BF5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с</w:t>
            </w:r>
          </w:p>
        </w:tc>
        <w:tc>
          <w:tcPr>
            <w:tcW w:w="1443" w:type="dxa"/>
          </w:tcPr>
          <w:p w:rsidR="0089526E" w:rsidRPr="00044BF5" w:rsidRDefault="00044BF5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>алдау</w:t>
            </w:r>
            <w:proofErr w:type="spellEnd"/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>объектісі</w:t>
            </w:r>
            <w:proofErr w:type="spellEnd"/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қызметінің бағыты</w:t>
            </w:r>
          </w:p>
        </w:tc>
        <w:tc>
          <w:tcPr>
            <w:tcW w:w="992" w:type="dxa"/>
          </w:tcPr>
          <w:p w:rsidR="0089526E" w:rsidRPr="00044BF5" w:rsidRDefault="00044BF5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с</w:t>
            </w:r>
          </w:p>
        </w:tc>
        <w:tc>
          <w:tcPr>
            <w:tcW w:w="1984" w:type="dxa"/>
          </w:tcPr>
          <w:p w:rsidR="0089526E" w:rsidRPr="00044BF5" w:rsidRDefault="00044BF5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>тәуекел</w:t>
            </w:r>
          </w:p>
        </w:tc>
        <w:tc>
          <w:tcPr>
            <w:tcW w:w="6804" w:type="dxa"/>
          </w:tcPr>
          <w:p w:rsidR="0089526E" w:rsidRPr="00044BF5" w:rsidRDefault="00044BF5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тәуекел </w:t>
            </w:r>
            <w:proofErr w:type="spellStart"/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>сипаттамасы</w:t>
            </w:r>
            <w:proofErr w:type="spellEnd"/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және құқық бұзушылық </w:t>
            </w:r>
            <w:proofErr w:type="spellStart"/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>жасау</w:t>
            </w:r>
            <w:proofErr w:type="spellEnd"/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>схем</w:t>
            </w:r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3119" w:type="dxa"/>
          </w:tcPr>
          <w:p w:rsidR="0089526E" w:rsidRPr="00044BF5" w:rsidRDefault="00044BF5" w:rsidP="0061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>жою</w:t>
            </w:r>
            <w:proofErr w:type="spellEnd"/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04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ұсыныс</w:t>
            </w:r>
          </w:p>
        </w:tc>
      </w:tr>
      <w:tr w:rsidR="00B62EFE" w:rsidRPr="00140914" w:rsidTr="00824AF7">
        <w:trPr>
          <w:cantSplit/>
          <w:trHeight w:val="1134"/>
        </w:trPr>
        <w:tc>
          <w:tcPr>
            <w:tcW w:w="679" w:type="dxa"/>
          </w:tcPr>
          <w:p w:rsidR="00B62EFE" w:rsidRPr="00FA6850" w:rsidRDefault="00B62EFE" w:rsidP="00B6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3" w:type="dxa"/>
            <w:textDirection w:val="btLr"/>
          </w:tcPr>
          <w:p w:rsidR="00B62EFE" w:rsidRPr="00A61983" w:rsidRDefault="00044BF5" w:rsidP="00B62E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BF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44BF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НҚ</w:t>
            </w:r>
            <w:proofErr w:type="gramStart"/>
            <w:r w:rsidRPr="00044BF5">
              <w:rPr>
                <w:rFonts w:ascii="Times New Roman" w:hAnsi="Times New Roman" w:cs="Times New Roman"/>
                <w:b/>
                <w:sz w:val="28"/>
                <w:szCs w:val="28"/>
              </w:rPr>
              <w:t>А-да</w:t>
            </w:r>
            <w:proofErr w:type="gramEnd"/>
            <w:r w:rsidRPr="00044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ғы </w:t>
            </w:r>
            <w:proofErr w:type="spellStart"/>
            <w:r w:rsidRPr="00044BF5">
              <w:rPr>
                <w:rFonts w:ascii="Times New Roman" w:hAnsi="Times New Roman" w:cs="Times New Roman"/>
                <w:b/>
                <w:sz w:val="28"/>
                <w:szCs w:val="28"/>
              </w:rPr>
              <w:t>сыбайлас</w:t>
            </w:r>
            <w:proofErr w:type="spellEnd"/>
            <w:r w:rsidRPr="00044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жемқорлық тәуекелдері</w:t>
            </w:r>
          </w:p>
        </w:tc>
        <w:tc>
          <w:tcPr>
            <w:tcW w:w="992" w:type="dxa"/>
          </w:tcPr>
          <w:p w:rsidR="00B62EFE" w:rsidRPr="00FA6850" w:rsidRDefault="00B62EFE" w:rsidP="00B6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6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62EFE" w:rsidRPr="00FA6850" w:rsidRDefault="00044BF5" w:rsidP="0080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negp0gi0b9av8jahpyh"/>
              </w:rPr>
              <w:t>құқықтық</w:t>
            </w:r>
            <w:r>
              <w:t xml:space="preserve"> </w:t>
            </w:r>
            <w:proofErr w:type="spellStart"/>
            <w:r>
              <w:rPr>
                <w:rStyle w:val="anegp0gi0b9av8jahpyh"/>
              </w:rPr>
              <w:t>актілерде</w:t>
            </w:r>
            <w:proofErr w:type="spellEnd"/>
          </w:p>
        </w:tc>
        <w:tc>
          <w:tcPr>
            <w:tcW w:w="6804" w:type="dxa"/>
          </w:tcPr>
          <w:p w:rsidR="00044BF5" w:rsidRPr="00044BF5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</w:pPr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1.</w:t>
            </w:r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ab/>
              <w:t>НҚ</w:t>
            </w:r>
            <w:proofErr w:type="gram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А-да</w:t>
            </w:r>
            <w:proofErr w:type="gram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ғы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сыбайлас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жемқорлық тәуекелдері 1.1.</w:t>
            </w:r>
          </w:p>
          <w:p w:rsidR="00044BF5" w:rsidRPr="00044BF5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</w:pPr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құқықтық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актілерде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1.Қ</w:t>
            </w:r>
            <w:proofErr w:type="gram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АШМ 21.05.2015 ж. бұйрығымен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бекітілген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"Ветеринариялық құжаттарды беру ережесінің және олардың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бланкілеріне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қойылатын талаптардың" 17-тармағына, 2-тарауына сәйкес, "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республикадан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тыс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жерлерге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әкетілетін,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оларды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әкетуге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берілген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ветеринариялық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сертификаттар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ж</w:t>
            </w:r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а</w:t>
            </w:r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рамсыз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болып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саналады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.</w:t>
            </w:r>
          </w:p>
          <w:p w:rsidR="00044BF5" w:rsidRPr="00044BF5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</w:pPr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39-тармақта. осы Қағидалардың "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ет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және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ет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өнімдеріне (қосалқы өнімдерге) арналған ветеринариялық анықтама ветеринариялы</w:t>
            </w:r>
            <w:proofErr w:type="gram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қ-</w:t>
            </w:r>
            <w:proofErr w:type="gram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санитариялық қағидаларға сәйкес тәртіппен жазылған ветеринариялық таңбаның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немесе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мөртабанның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бедерлері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болған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кезде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беріледі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". Бұ</w:t>
            </w:r>
            <w:proofErr w:type="gram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л</w:t>
            </w:r>
            <w:proofErr w:type="gram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нормада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ветеринариялық анықтаманы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ж</w:t>
            </w:r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а</w:t>
            </w:r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рамсыз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деп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тану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шарттары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көзделмеген,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егер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таңбаның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бедерімен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өнімнің шығу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орнын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анықтау мүмкін болмаған жағдайда. Заңнамадағы мұндай олқылық ветеринариялық </w:t>
            </w:r>
            <w:proofErr w:type="gram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мамандар</w:t>
            </w:r>
            <w:proofErr w:type="gram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ға сою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объектілерін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пайдаланбай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және өнімді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тікелей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тексермей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етке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ветеринариялық анықтамалар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беруге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мүмкіндік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береді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.</w:t>
            </w:r>
          </w:p>
          <w:p w:rsidR="00044BF5" w:rsidRPr="00044BF5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</w:pPr>
          </w:p>
          <w:p w:rsidR="00AE4A52" w:rsidRPr="00AE4A52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2. "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Ауыл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шаруашылығы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жануарларын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бірдейлендіру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және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одан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үзінд</w:t>
            </w:r>
            <w:proofErr w:type="gram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і-</w:t>
            </w:r>
            <w:proofErr w:type="gram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көшірме беру жөніндегі дерекқорды қалыптастыру және жүргізу Қағидаларының" 37-тармағының 3-тармақшасында (ҚР АШМ 02.06.2010 ж. №367 бұйрығы) - жануарлардың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орнын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ауыстыру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кезінде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деректер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ӨИС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базасына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енгізілетін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(жаңартылатын) мәліметтер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тізбесі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көзделген. Көрсетілген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тізбеде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ветеринариялық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маманды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орнын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ауыстыратын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жануарға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ілесі</w:t>
            </w:r>
            <w:proofErr w:type="gram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п</w:t>
            </w:r>
            <w:proofErr w:type="spellEnd"/>
            <w:proofErr w:type="gram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жүретін ветеринариялық құжатты көрсетуге (құжатты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немесе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сілтемені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тіркеуге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)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міндеттейтін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нормалар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жоқ, ал жануарлардың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орнын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ауыстыру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тармаққа сәйкес ветеринариялық құжаттың сүйемелдеуімен жүзеге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асырылады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. 3" Қазақстан Республикасының аумағында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орны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ауыстырылатын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тасымалданатын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)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объектілерді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тасымалдауды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жүзеге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асыру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қағидалары " (Қ</w:t>
            </w:r>
            <w:proofErr w:type="gram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АШМ 2015 жылғы 29 мамырдағы № 7-1/496)</w:t>
            </w:r>
            <w:proofErr w:type="gram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Осылайша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, ветеринариялық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маман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сату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себебінен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бұрын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есептен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шығарылған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жануарлар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т</w:t>
            </w:r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у</w:t>
            </w:r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ралы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деректерді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енгізу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арқылы ӨИС базасының мәліметтерін бұрмалауға және осы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деректерді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жалған ветеринариялық анықтамалар беру үшін пайдалануға мүмкіндік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беретін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жағдайлар </w:t>
            </w:r>
            <w:proofErr w:type="spellStart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туындайды</w:t>
            </w:r>
            <w:proofErr w:type="spellEnd"/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.</w:t>
            </w:r>
            <w:r w:rsidRPr="00044BF5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3119" w:type="dxa"/>
          </w:tcPr>
          <w:p w:rsidR="00044BF5" w:rsidRPr="00044BF5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1.Ветеринариялық анық</w:t>
            </w:r>
            <w:proofErr w:type="gram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тама</w:t>
            </w:r>
            <w:proofErr w:type="gram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ға қатысты таңбаның айқын бедерінің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болмауы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себебінен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вет-ринарлық құжатты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жарамсыз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деп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тану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нормалар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айқындалатын вет-ринарлық құжаттарды беру қағидаларына толықтырулар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енгізу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ұсыныс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енгізілсін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44BF5" w:rsidRPr="00044BF5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BF5" w:rsidRPr="00044BF5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BF5" w:rsidRPr="00044BF5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BF5" w:rsidRPr="00044BF5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EFE" w:rsidRPr="003C6294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2."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Ауыл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шаруашылығы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жануарл</w:t>
            </w: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рын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идентификациялау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одан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үзінд</w:t>
            </w:r>
            <w:proofErr w:type="gram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і-</w:t>
            </w:r>
            <w:proofErr w:type="gram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көшірме беру жөніндегі дерекқорды қалыптастыру және жүргізу қағидаларына" (ҚР АШМ 02.06.2010 ж. №367 бұйрығы), со</w:t>
            </w: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дай-ақ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сатып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алу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себебі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жануарларды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есепке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қою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кезінде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ветеринариялық дәрігерлерді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міндеттейтін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ӨИС ақпараттық жүйесінің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функционалына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толықтырулар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енгізу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ұсыныс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енгізу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, жануардың шығ</w:t>
            </w:r>
            <w:proofErr w:type="gram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тег</w:t>
            </w:r>
            <w:proofErr w:type="gram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ін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тайтын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ветеринариялық құжат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тур</w:t>
            </w: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лы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мәлімет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ЕАСУ жүйесі арқылы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берілген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осындай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құжаттың электрондық трондық көшірмесіне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сілтеме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енгізу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. Ветеринариялық құ</w:t>
            </w:r>
            <w:proofErr w:type="gram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жат</w:t>
            </w:r>
            <w:proofErr w:type="gram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болмаған жағдайда,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жануарды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есепке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қою оны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карантиндеу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жүргізілгеннен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иесін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әкімшілік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жауапкершілікке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тартқаннан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жүзеге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асырылады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44BF5" w:rsidRPr="00FE22D4" w:rsidTr="00824AF7">
        <w:tc>
          <w:tcPr>
            <w:tcW w:w="679" w:type="dxa"/>
          </w:tcPr>
          <w:p w:rsidR="00044BF5" w:rsidRDefault="00044BF5" w:rsidP="0061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044BF5" w:rsidRPr="0097127A" w:rsidRDefault="00044BF5" w:rsidP="00614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4BF5" w:rsidRDefault="00044BF5" w:rsidP="00044BF5">
            <w:r w:rsidRPr="009164B7">
              <w:rPr>
                <w:rStyle w:val="anegp0gi0b9av8jahpyh"/>
              </w:rPr>
              <w:t>2.1.</w:t>
            </w:r>
            <w:r w:rsidRPr="009164B7">
              <w:t xml:space="preserve"> </w:t>
            </w:r>
          </w:p>
        </w:tc>
        <w:tc>
          <w:tcPr>
            <w:tcW w:w="1984" w:type="dxa"/>
          </w:tcPr>
          <w:p w:rsidR="00044BF5" w:rsidRPr="00044BF5" w:rsidRDefault="00044BF5">
            <w:pPr>
              <w:rPr>
                <w:rFonts w:ascii="Times New Roman" w:hAnsi="Times New Roman" w:cs="Times New Roman"/>
                <w:i/>
              </w:rPr>
            </w:pPr>
            <w:r w:rsidRPr="00044BF5">
              <w:rPr>
                <w:rStyle w:val="anegp0gi0b9av8jahpyh"/>
                <w:rFonts w:ascii="Times New Roman" w:hAnsi="Times New Roman" w:cs="Times New Roman"/>
                <w:i/>
              </w:rPr>
              <w:t>2.1.</w:t>
            </w:r>
            <w:r w:rsidRPr="00044BF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4BF5">
              <w:rPr>
                <w:rStyle w:val="anegp0gi0b9av8jahpyh"/>
                <w:rFonts w:ascii="Times New Roman" w:hAnsi="Times New Roman" w:cs="Times New Roman"/>
                <w:i/>
              </w:rPr>
              <w:t>Мемлекеттік</w:t>
            </w:r>
            <w:proofErr w:type="spellEnd"/>
            <w:r w:rsidRPr="00044BF5">
              <w:rPr>
                <w:rFonts w:ascii="Times New Roman" w:hAnsi="Times New Roman" w:cs="Times New Roman"/>
                <w:i/>
              </w:rPr>
              <w:t xml:space="preserve"> </w:t>
            </w:r>
            <w:r w:rsidRPr="00044BF5">
              <w:rPr>
                <w:rStyle w:val="anegp0gi0b9av8jahpyh"/>
                <w:rFonts w:ascii="Times New Roman" w:hAnsi="Times New Roman" w:cs="Times New Roman"/>
                <w:i/>
              </w:rPr>
              <w:lastRenderedPageBreak/>
              <w:t>қызметтер</w:t>
            </w:r>
            <w:r w:rsidRPr="00044BF5">
              <w:rPr>
                <w:rFonts w:ascii="Times New Roman" w:hAnsi="Times New Roman" w:cs="Times New Roman"/>
                <w:i/>
              </w:rPr>
              <w:t xml:space="preserve"> </w:t>
            </w:r>
            <w:r w:rsidRPr="00044BF5">
              <w:rPr>
                <w:rStyle w:val="anegp0gi0b9av8jahpyh"/>
                <w:rFonts w:ascii="Times New Roman" w:hAnsi="Times New Roman" w:cs="Times New Roman"/>
                <w:i/>
              </w:rPr>
              <w:t>көрсетудегі</w:t>
            </w:r>
            <w:r w:rsidRPr="00044BF5">
              <w:rPr>
                <w:rFonts w:ascii="Times New Roman" w:hAnsi="Times New Roman" w:cs="Times New Roman"/>
                <w:i/>
              </w:rPr>
              <w:t xml:space="preserve"> </w:t>
            </w:r>
            <w:r w:rsidRPr="00044BF5">
              <w:rPr>
                <w:rStyle w:val="anegp0gi0b9av8jahpyh"/>
                <w:rFonts w:ascii="Times New Roman" w:hAnsi="Times New Roman" w:cs="Times New Roman"/>
                <w:i/>
              </w:rPr>
              <w:t>және</w:t>
            </w:r>
            <w:r w:rsidRPr="00044BF5">
              <w:rPr>
                <w:rFonts w:ascii="Times New Roman" w:hAnsi="Times New Roman" w:cs="Times New Roman"/>
                <w:i/>
              </w:rPr>
              <w:t xml:space="preserve"> </w:t>
            </w:r>
            <w:r w:rsidRPr="00044BF5">
              <w:rPr>
                <w:rStyle w:val="anegp0gi0b9av8jahpyh"/>
                <w:rFonts w:ascii="Times New Roman" w:hAnsi="Times New Roman" w:cs="Times New Roman"/>
                <w:i/>
              </w:rPr>
              <w:t>ЕАСУ</w:t>
            </w:r>
            <w:r w:rsidRPr="00044BF5">
              <w:rPr>
                <w:rFonts w:ascii="Times New Roman" w:hAnsi="Times New Roman" w:cs="Times New Roman"/>
                <w:i/>
              </w:rPr>
              <w:t xml:space="preserve"> </w:t>
            </w:r>
            <w:r w:rsidRPr="00044BF5">
              <w:rPr>
                <w:rStyle w:val="anegp0gi0b9av8jahpyh"/>
                <w:rFonts w:ascii="Times New Roman" w:hAnsi="Times New Roman" w:cs="Times New Roman"/>
                <w:i/>
              </w:rPr>
              <w:t>жүйесіндегі</w:t>
            </w:r>
            <w:r w:rsidRPr="00044BF5">
              <w:rPr>
                <w:rFonts w:ascii="Times New Roman" w:hAnsi="Times New Roman" w:cs="Times New Roman"/>
                <w:i/>
              </w:rPr>
              <w:t xml:space="preserve"> </w:t>
            </w:r>
            <w:r w:rsidRPr="00044BF5">
              <w:rPr>
                <w:rStyle w:val="anegp0gi0b9av8jahpyh"/>
                <w:rFonts w:ascii="Times New Roman" w:hAnsi="Times New Roman" w:cs="Times New Roman"/>
                <w:i/>
              </w:rPr>
              <w:t>тәуекелдер</w:t>
            </w:r>
          </w:p>
        </w:tc>
        <w:tc>
          <w:tcPr>
            <w:tcW w:w="6804" w:type="dxa"/>
          </w:tcPr>
          <w:p w:rsidR="00044BF5" w:rsidRPr="00044BF5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4B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Кәсіпорын қызметкерлерінің тәрті</w:t>
            </w:r>
            <w:proofErr w:type="gram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gram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ік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жазаларын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талдау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барысында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4B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қызмет көрсету тәртібін бұзғаны үшін 10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маман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жазаланған қызметкерлердің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жалпы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санының 17%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жауапкершілікке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тартылғаны анықталды. Бұл факт </w:t>
            </w:r>
            <w:proofErr w:type="gram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әсіпорын қызметкерлерін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қызмет көрсету тәртібі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оқыту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жұмысты жалғастыру қажет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екенін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көрсетеді. </w:t>
            </w:r>
          </w:p>
          <w:p w:rsidR="00044BF5" w:rsidRPr="00044BF5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BF5" w:rsidRPr="00044BF5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gram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"ЕАСУ" жүйесінде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ветеринариялық ұйымның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басшысына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ақпараттық жүйеге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енгізілген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өтінімді қарау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кезінде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қызметтің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жауапты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орында</w:t>
            </w: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шысын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айқындауға мүмкіндік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беретін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функционал жоқ, бұл қабылданатын шешімдердің ашықтығын қамтамасыз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етуге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мүмкіндік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береді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. Көрсетілетін қызметті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беруші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мен</w:t>
            </w:r>
            <w:proofErr w:type="gram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көрсетілетін қызметті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алушы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арасындағы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тікелей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байланысты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болды</w:t>
            </w: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мау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мүмкін болмаған жағдайда (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орны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ауыстырылатын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объектіні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, көлік құралын,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тасымалдау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шарттарын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, өнімді таңбалауды және т.б. қарау қажеттілігі) өтінімдерге электрондық бұрыштама қоюды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енгізу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қызметтер көрсету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кезінде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бұзушылықтар</w:t>
            </w:r>
            <w:proofErr w:type="gram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қаупін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азайтады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44BF5" w:rsidRPr="00044BF5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BF5" w:rsidRPr="00FA6850" w:rsidRDefault="00044BF5" w:rsidP="0004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3. Ветеринариялық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паспортты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берудің автоматтандырылған тәсілінің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болмауы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байлас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жемқ</w:t>
            </w:r>
            <w:proofErr w:type="gram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орлы</w:t>
            </w:r>
            <w:proofErr w:type="gram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ққа жағдай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жасайды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. Бірыңғай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автоматты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басқару жүйесі мен "Е-Лицензия"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Деректер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базасының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деректер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базасын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"Электрондық ү</w:t>
            </w:r>
            <w:proofErr w:type="gram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імет"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порталымен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интеграциялаудың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болмауына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байланысты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. Азаматтардың "ветеринариялық паспорт беру</w:t>
            </w:r>
            <w:proofErr w:type="gram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"с</w:t>
            </w:r>
            <w:proofErr w:type="gram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ияқты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қызметті электрондық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форматта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алуға мүмкіндігі жоқ. Бұл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қызмет тек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ішінара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автоматтандырылған, бұл оны көрсетудің жалғыз тәсіліне - қағаз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нысанда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, көрсетілетін қызметті берушінің көрсетілетін қызметті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алушымен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тікелей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>байланысы</w:t>
            </w:r>
            <w:proofErr w:type="spellEnd"/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арқылы әкеледі.</w:t>
            </w:r>
            <w:r w:rsidRPr="00044B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044BF5" w:rsidRPr="00044BF5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қызметтердің көзін </w:t>
            </w:r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бақылау жөніндегі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маман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Ма-женовойаидежанботаев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жұмыс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жо</w:t>
            </w:r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парын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жасасын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және ветеринариялық мамандардың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қызметтер көрсету тәртібін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зерделеуі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оның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орындалуын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қамтамасыз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етсін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Жұмыс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тобы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осы жоспардың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оры</w:t>
            </w:r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далуын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бақылауды қамтамасыз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етсін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44BF5" w:rsidRPr="00044BF5" w:rsidRDefault="00044BF5" w:rsidP="00044BF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2.Жауапты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орындаушыны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айқындау үшін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ветеринариялық ұйымның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басшысына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өтіні</w:t>
            </w:r>
            <w:proofErr w:type="gram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 қағаз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жеткізгіште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жолдау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жөніндегі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тала</w:t>
            </w:r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тарды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бизнес-процестен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алып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та</w:t>
            </w:r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тайтын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жаңа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функционалды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әзірлеу және ЕАҚ ақпараттық жүйесіне қосу жөнінде ұсыныс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енгізу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44BF5" w:rsidRPr="004D0C37" w:rsidRDefault="00044BF5" w:rsidP="00044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3. Ветеринариялық паспорт беру тәсі</w:t>
            </w:r>
            <w:proofErr w:type="gram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ін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автоматтандыру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ұсыныс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енгізу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Бұл көрсетілетін қызметті алушыға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қызметті "электрондық ү</w:t>
            </w:r>
            <w:proofErr w:type="gram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імет" по</w:t>
            </w:r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талы арқылы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дербес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көрсетуге мүмкіндік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береді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бұл да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сыбайлас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жемқорлық тәуекелінің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туындау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қаупін </w:t>
            </w:r>
            <w:proofErr w:type="spellStart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азайтады</w:t>
            </w:r>
            <w:proofErr w:type="spellEnd"/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4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C27EB6" w:rsidRDefault="00C27EB6" w:rsidP="0002555D">
      <w:pPr>
        <w:rPr>
          <w:rFonts w:ascii="Times New Roman" w:hAnsi="Times New Roman" w:cs="Times New Roman"/>
          <w:sz w:val="28"/>
          <w:szCs w:val="28"/>
        </w:rPr>
      </w:pPr>
    </w:p>
    <w:sectPr w:rsidR="00C27EB6" w:rsidSect="003C629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04C2"/>
    <w:rsid w:val="000065BB"/>
    <w:rsid w:val="00007F0C"/>
    <w:rsid w:val="0002555D"/>
    <w:rsid w:val="0004401B"/>
    <w:rsid w:val="00044BF5"/>
    <w:rsid w:val="00070CA4"/>
    <w:rsid w:val="000841DF"/>
    <w:rsid w:val="000C4C42"/>
    <w:rsid w:val="000F1554"/>
    <w:rsid w:val="00102C99"/>
    <w:rsid w:val="001373F4"/>
    <w:rsid w:val="00140914"/>
    <w:rsid w:val="00150A2E"/>
    <w:rsid w:val="00175421"/>
    <w:rsid w:val="00185E8A"/>
    <w:rsid w:val="001C233E"/>
    <w:rsid w:val="001F1B0B"/>
    <w:rsid w:val="00227553"/>
    <w:rsid w:val="002379BD"/>
    <w:rsid w:val="00271F89"/>
    <w:rsid w:val="002B255A"/>
    <w:rsid w:val="002E4A97"/>
    <w:rsid w:val="002F5705"/>
    <w:rsid w:val="00354A4B"/>
    <w:rsid w:val="0039548B"/>
    <w:rsid w:val="003A5892"/>
    <w:rsid w:val="003C6294"/>
    <w:rsid w:val="003D0065"/>
    <w:rsid w:val="003E441F"/>
    <w:rsid w:val="003F6509"/>
    <w:rsid w:val="003F7897"/>
    <w:rsid w:val="0044362B"/>
    <w:rsid w:val="00475E39"/>
    <w:rsid w:val="00481B59"/>
    <w:rsid w:val="00496497"/>
    <w:rsid w:val="004D0C37"/>
    <w:rsid w:val="004E030B"/>
    <w:rsid w:val="004E5279"/>
    <w:rsid w:val="00512A0D"/>
    <w:rsid w:val="005157ED"/>
    <w:rsid w:val="00517780"/>
    <w:rsid w:val="00571C88"/>
    <w:rsid w:val="00580A0D"/>
    <w:rsid w:val="005A0533"/>
    <w:rsid w:val="005C379B"/>
    <w:rsid w:val="005C6F1B"/>
    <w:rsid w:val="005D50B5"/>
    <w:rsid w:val="005E62DB"/>
    <w:rsid w:val="0060628C"/>
    <w:rsid w:val="00606F76"/>
    <w:rsid w:val="006306E1"/>
    <w:rsid w:val="0063502E"/>
    <w:rsid w:val="00666BD4"/>
    <w:rsid w:val="006868CD"/>
    <w:rsid w:val="006F515D"/>
    <w:rsid w:val="00714A95"/>
    <w:rsid w:val="00731734"/>
    <w:rsid w:val="00742A77"/>
    <w:rsid w:val="00743AF1"/>
    <w:rsid w:val="00751A28"/>
    <w:rsid w:val="00782173"/>
    <w:rsid w:val="007B5E5C"/>
    <w:rsid w:val="007D0416"/>
    <w:rsid w:val="007E454F"/>
    <w:rsid w:val="007F07BD"/>
    <w:rsid w:val="00802BD9"/>
    <w:rsid w:val="0080385A"/>
    <w:rsid w:val="00821BD7"/>
    <w:rsid w:val="00824AF7"/>
    <w:rsid w:val="008276ED"/>
    <w:rsid w:val="00841815"/>
    <w:rsid w:val="00874450"/>
    <w:rsid w:val="00882020"/>
    <w:rsid w:val="00893673"/>
    <w:rsid w:val="0089526E"/>
    <w:rsid w:val="008D5439"/>
    <w:rsid w:val="008D75E0"/>
    <w:rsid w:val="008F678B"/>
    <w:rsid w:val="008F7CDE"/>
    <w:rsid w:val="009168B0"/>
    <w:rsid w:val="009203A6"/>
    <w:rsid w:val="00931C9B"/>
    <w:rsid w:val="0097127A"/>
    <w:rsid w:val="009A3093"/>
    <w:rsid w:val="009C3E44"/>
    <w:rsid w:val="009E56D0"/>
    <w:rsid w:val="00A36EA0"/>
    <w:rsid w:val="00A40015"/>
    <w:rsid w:val="00A61983"/>
    <w:rsid w:val="00A83A54"/>
    <w:rsid w:val="00A92C8F"/>
    <w:rsid w:val="00AC5E9D"/>
    <w:rsid w:val="00AE293C"/>
    <w:rsid w:val="00AE4A52"/>
    <w:rsid w:val="00AE582B"/>
    <w:rsid w:val="00AE7A21"/>
    <w:rsid w:val="00B142D8"/>
    <w:rsid w:val="00B2420B"/>
    <w:rsid w:val="00B27E1D"/>
    <w:rsid w:val="00B353D0"/>
    <w:rsid w:val="00B62EFE"/>
    <w:rsid w:val="00B75955"/>
    <w:rsid w:val="00B816E3"/>
    <w:rsid w:val="00B97697"/>
    <w:rsid w:val="00BB0F38"/>
    <w:rsid w:val="00BD6ABE"/>
    <w:rsid w:val="00BE6DD2"/>
    <w:rsid w:val="00BF4A6C"/>
    <w:rsid w:val="00C0143A"/>
    <w:rsid w:val="00C27EB6"/>
    <w:rsid w:val="00C30FE7"/>
    <w:rsid w:val="00C36E93"/>
    <w:rsid w:val="00CD0F83"/>
    <w:rsid w:val="00CE49FF"/>
    <w:rsid w:val="00CE7250"/>
    <w:rsid w:val="00CF305B"/>
    <w:rsid w:val="00CF50F3"/>
    <w:rsid w:val="00D50398"/>
    <w:rsid w:val="00D67AC0"/>
    <w:rsid w:val="00DA6355"/>
    <w:rsid w:val="00DB28CF"/>
    <w:rsid w:val="00DB7BBB"/>
    <w:rsid w:val="00DC3DAD"/>
    <w:rsid w:val="00E13A2A"/>
    <w:rsid w:val="00E529DE"/>
    <w:rsid w:val="00E662AC"/>
    <w:rsid w:val="00E83B62"/>
    <w:rsid w:val="00E96DE1"/>
    <w:rsid w:val="00EB7F66"/>
    <w:rsid w:val="00ED3C60"/>
    <w:rsid w:val="00F0194C"/>
    <w:rsid w:val="00F1531B"/>
    <w:rsid w:val="00F2594E"/>
    <w:rsid w:val="00F3030F"/>
    <w:rsid w:val="00F504C2"/>
    <w:rsid w:val="00F92120"/>
    <w:rsid w:val="00FA6850"/>
    <w:rsid w:val="00FB1017"/>
    <w:rsid w:val="00FB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C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54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0B5"/>
    <w:pPr>
      <w:ind w:left="720"/>
      <w:contextualSpacing/>
    </w:pPr>
  </w:style>
  <w:style w:type="character" w:customStyle="1" w:styleId="anegp0gi0b9av8jahpyh">
    <w:name w:val="anegp0gi0b9av8jahpyh"/>
    <w:basedOn w:val="a0"/>
    <w:rsid w:val="00044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E5A4F-B2FB-48CB-8920-02BB9D9F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Брюнина</dc:creator>
  <cp:lastModifiedBy>Пользователь</cp:lastModifiedBy>
  <cp:revision>14</cp:revision>
  <cp:lastPrinted>2022-08-18T09:27:00Z</cp:lastPrinted>
  <dcterms:created xsi:type="dcterms:W3CDTF">2022-08-23T11:46:00Z</dcterms:created>
  <dcterms:modified xsi:type="dcterms:W3CDTF">2025-05-13T07:17:00Z</dcterms:modified>
</cp:coreProperties>
</file>