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7"/>
      </w:tblGrid>
      <w:tr w:rsidR="007D2DE7" w:rsidRPr="00722906">
        <w:tc>
          <w:tcPr>
            <w:tcW w:w="10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jc w:val="right"/>
              <w:textAlignment w:val="top"/>
              <w:rPr>
                <w:rFonts w:ascii="Times New Roman" w:eastAsia="monospace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ascii="Times New Roman" w:eastAsia="monospace" w:hAnsi="Times New Roman" w:cs="Times New Roman"/>
                <w:color w:val="000000"/>
                <w:sz w:val="28"/>
                <w:szCs w:val="28"/>
                <w:lang w:val="ru-RU" w:bidi="ar"/>
              </w:rPr>
              <w:t>Приложение 6-1</w:t>
            </w:r>
            <w:r w:rsidRPr="00722906">
              <w:rPr>
                <w:rFonts w:ascii="Times New Roman" w:eastAsia="monospace" w:hAnsi="Times New Roman" w:cs="Times New Roman"/>
                <w:color w:val="000000"/>
                <w:sz w:val="28"/>
                <w:szCs w:val="28"/>
                <w:lang w:val="ru-RU" w:bidi="ar"/>
              </w:rPr>
              <w:br/>
              <w:t>к Правилам идентификации</w:t>
            </w:r>
            <w:r w:rsidRPr="00722906">
              <w:rPr>
                <w:rFonts w:ascii="Times New Roman" w:eastAsia="monospace" w:hAnsi="Times New Roman" w:cs="Times New Roman"/>
                <w:color w:val="000000"/>
                <w:sz w:val="28"/>
                <w:szCs w:val="28"/>
                <w:lang w:val="ru-RU" w:bidi="ar"/>
              </w:rPr>
              <w:br/>
              <w:t>сельскохозяйственных животных</w:t>
            </w:r>
          </w:p>
        </w:tc>
      </w:tr>
    </w:tbl>
    <w:p w:rsidR="007D2DE7" w:rsidRPr="00722906" w:rsidRDefault="00722906">
      <w:pPr>
        <w:pStyle w:val="3"/>
        <w:shd w:val="clear" w:color="auto" w:fill="FFFFFF"/>
        <w:spacing w:before="225" w:beforeAutospacing="0" w:after="135" w:afterAutospacing="0" w:line="390" w:lineRule="atLeast"/>
        <w:textAlignment w:val="baseline"/>
        <w:rPr>
          <w:rFonts w:ascii="Times New Roman" w:eastAsia="monospace" w:hAnsi="Times New Roman" w:hint="default"/>
          <w:color w:val="1E1E1E"/>
          <w:sz w:val="28"/>
          <w:szCs w:val="28"/>
          <w:lang w:val="ru-RU"/>
        </w:rPr>
      </w:pPr>
      <w:r w:rsidRPr="00722906"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  <w:lang w:val="ru-RU"/>
        </w:rPr>
        <w:t>Перечень основных требований к оказанию государственной услуги</w:t>
      </w:r>
      <w:r w:rsidRPr="00722906">
        <w:rPr>
          <w:rFonts w:ascii="Times New Roman" w:eastAsia="monospace" w:hAnsi="Times New Roman" w:hint="default"/>
          <w:color w:val="1E1E1E"/>
          <w:sz w:val="28"/>
          <w:szCs w:val="28"/>
          <w:shd w:val="clear" w:color="auto" w:fill="FFFFFF"/>
          <w:lang w:val="ru-RU"/>
        </w:rPr>
        <w:br/>
        <w:t>"Выдача ветеринарного паспорта"</w:t>
      </w:r>
    </w:p>
    <w:tbl>
      <w:tblPr>
        <w:tblW w:w="107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847"/>
        <w:gridCol w:w="6460"/>
      </w:tblGrid>
      <w:tr w:rsidR="007D2DE7" w:rsidRPr="00722906">
        <w:trPr>
          <w:trHeight w:val="1914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1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Наименование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услугодателя</w:t>
            </w:r>
            <w:proofErr w:type="spellEnd"/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Государственные ветеринарные организации, созданные местными 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исполнительными органами областей, городов Астаны, Алматы и Шымкента (далее –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).</w:t>
            </w:r>
          </w:p>
        </w:tc>
      </w:tr>
      <w:tr w:rsidR="007D2DE7" w:rsidRPr="007229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2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Способы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предоставления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государственной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Прием заявления и выдача результата оказания государственной услуги осуществляются через: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 xml:space="preserve">1)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;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 xml:space="preserve">2) 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веб-портал "электронного правительства" </w:t>
            </w:r>
            <w:r>
              <w:rPr>
                <w:rFonts w:eastAsia="monospace"/>
                <w:color w:val="000000"/>
                <w:sz w:val="28"/>
                <w:szCs w:val="28"/>
              </w:rPr>
              <w:t>www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egov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kz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(далее – портал).</w:t>
            </w:r>
          </w:p>
        </w:tc>
      </w:tr>
      <w:tr w:rsidR="007D2DE7" w:rsidRPr="007229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3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Срок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оказания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государственной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1) при выдаче ветеринарного паспорта – в течение 2 (двух) рабочих дней;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 xml:space="preserve">2) при выдаче выписки из ветеринарного паспорта – в течение 30 (тридцати) 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минут.</w:t>
            </w:r>
          </w:p>
        </w:tc>
      </w:tr>
      <w:tr w:rsidR="007D2D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4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Форма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оказания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государственной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Электронная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частично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автоматизированная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>)/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бумажная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>.</w:t>
            </w:r>
          </w:p>
        </w:tc>
      </w:tr>
      <w:tr w:rsidR="007D2DE7" w:rsidRPr="007229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5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Результат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оказания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государственной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услуги</w:t>
            </w:r>
            <w:proofErr w:type="spellEnd"/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Выдача ветеринарного паспорта, выписки из ветеринарного паспорта, либо мотивированный отказ в оказании государс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твенной услуги.</w:t>
            </w:r>
          </w:p>
        </w:tc>
      </w:tr>
      <w:tr w:rsidR="007D2DE7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Размер оплаты, взимаемой с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Бесплатно</w:t>
            </w:r>
            <w:proofErr w:type="spellEnd"/>
            <w:r>
              <w:rPr>
                <w:rFonts w:eastAsia="monospace"/>
                <w:color w:val="000000"/>
                <w:sz w:val="28"/>
                <w:szCs w:val="28"/>
              </w:rPr>
              <w:t>.</w:t>
            </w:r>
          </w:p>
        </w:tc>
      </w:tr>
      <w:tr w:rsidR="007D2DE7" w:rsidRPr="007229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7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График работы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и объектов информации</w:t>
            </w:r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1)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услугодателя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– с понедельника по пятницу включительно с 9.00 до 18.30 часов, с перерывом на обед с 13.00 до 14.30 часов, за исключением выходных и праздничных дней согласно трудовому законодательству Республики Казахстан.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>Прием документов и выдача результа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та оказания государственной услуги осуществляются с 9.00 до 17.30 часов, с перерывом на обед с 13.00 до 14.30 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lastRenderedPageBreak/>
              <w:t>часов, за исключением выходных и праздничных дней согласно трудовому законодательству Республики Казахстан.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>Прием документов и выдача результата о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казания государственной услуги за пределами установленной продолжительности рабочего времени устанавливаются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услугодателем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согласно графику рабочего времени;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>2) портала – круглосуточно, за исключением технических перерывов в связи с проведением ремонтных р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абот (при обращении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осуществляются следующим рабоч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им днем). Адреса мест оказания государственной услуги размещены на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интернет-ресурсе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местных исполнительных органов областей, городов республиканского значения, столицы: </w:t>
            </w:r>
            <w:r>
              <w:rPr>
                <w:rFonts w:eastAsia="monospace"/>
                <w:color w:val="000000"/>
                <w:sz w:val="28"/>
                <w:szCs w:val="28"/>
              </w:rPr>
              <w:t>www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gov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.</w:t>
            </w:r>
            <w:proofErr w:type="spellStart"/>
            <w:r>
              <w:rPr>
                <w:rFonts w:eastAsia="monospace"/>
                <w:color w:val="000000"/>
                <w:sz w:val="28"/>
                <w:szCs w:val="28"/>
              </w:rPr>
              <w:t>kz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D2DE7" w:rsidRPr="007229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Перечень документов и сведений,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истребуемых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для оказа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ния государственной услуги</w:t>
            </w:r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При обращении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к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услугодателю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: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>1) заявление по форме;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 xml:space="preserve">2) документ, удостоверяющий личность, и (или) документ, подтверждающий полномочия представителя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(требуется для идентификации личности), либо э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лектронный документ из сервиса цифровых документов (для идентификации).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Услугодатели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портала.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>на портал: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>1) заявление в форме электронного документа, уд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остоверенного электронной цифровой подписью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.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 xml:space="preserve">Сведения о документе, удостоверяющем личность физического лица, о регистрации (перерегистрации) юридического лица, о регистрации индивидуального предпринимателя, либо о начале 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lastRenderedPageBreak/>
              <w:t>деятельности в кач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естве индивидуального предпринимателя,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услугодатель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 xml:space="preserve">Не допускается истребование от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услугополучателей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документов, которые могут быть получены из инфор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мационных систем.</w:t>
            </w:r>
          </w:p>
        </w:tc>
      </w:tr>
      <w:tr w:rsidR="007D2DE7" w:rsidRPr="007229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1) установление недостоверности документов, представленных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услугополучателем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для получения ветеринарного паспорта и (или) данных (сведе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ний), содержащихся в них;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 xml:space="preserve">2) несоответствие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и (или) представленных данных и сведений, необходимых для оказания государственной услуги, требованиям, установленным Правилами идентификации сельскохозяйственных животных, утвержденными</w:t>
            </w:r>
            <w:r>
              <w:rPr>
                <w:rFonts w:eastAsia="monospace"/>
                <w:color w:val="000000"/>
                <w:sz w:val="28"/>
                <w:szCs w:val="28"/>
              </w:rPr>
              <w:t> </w:t>
            </w:r>
            <w:hyperlink r:id="rId4" w:anchor="z1" w:history="1">
              <w:r w:rsidRPr="00722906">
                <w:rPr>
                  <w:rStyle w:val="a3"/>
                  <w:rFonts w:eastAsia="monospace"/>
                  <w:color w:val="073A5E"/>
                  <w:sz w:val="28"/>
                  <w:szCs w:val="28"/>
                  <w:lang w:val="ru-RU"/>
                </w:rPr>
                <w:t>приказом</w:t>
              </w:r>
            </w:hyperlink>
            <w:r>
              <w:rPr>
                <w:rFonts w:eastAsia="monospace"/>
                <w:color w:val="000000"/>
                <w:sz w:val="28"/>
                <w:szCs w:val="28"/>
              </w:rPr>
              <w:t> 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Министра сельского хозяйства Республики Казахстан от 30 января 2015 года № 7-1/68 (зарегистрирован в Реестре государственной регистрации нормативных правовых актов № 11127);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>3) в отношении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имеется вступившее в законную силу решение (приговор) суда о запрещении деятельности или отдельных видов деятельности, связанного с получением ветеринарного паспорта;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 xml:space="preserve">4) отсутствие согласия </w:t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услугополучателя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, предоставляемого в соответстви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и со</w:t>
            </w:r>
            <w:r>
              <w:rPr>
                <w:rFonts w:eastAsia="monospace"/>
                <w:color w:val="000000"/>
                <w:sz w:val="28"/>
                <w:szCs w:val="28"/>
              </w:rPr>
              <w:t> </w:t>
            </w:r>
            <w:hyperlink r:id="rId5" w:anchor="z18" w:history="1">
              <w:r w:rsidRPr="00722906">
                <w:rPr>
                  <w:rStyle w:val="a3"/>
                  <w:rFonts w:eastAsia="monospace"/>
                  <w:color w:val="073A5E"/>
                  <w:sz w:val="28"/>
                  <w:szCs w:val="28"/>
                  <w:lang w:val="ru-RU"/>
                </w:rPr>
                <w:t>статьей 8</w:t>
              </w:r>
            </w:hyperlink>
            <w:r>
              <w:rPr>
                <w:rFonts w:eastAsia="monospace"/>
                <w:color w:val="000000"/>
                <w:sz w:val="28"/>
                <w:szCs w:val="28"/>
              </w:rPr>
              <w:t> 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7D2DE7" w:rsidRPr="0072290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</w:rPr>
            </w:pPr>
            <w:r>
              <w:rPr>
                <w:rFonts w:eastAsia="monospace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4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64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7D2DE7" w:rsidRPr="00722906" w:rsidRDefault="00722906">
            <w:pPr>
              <w:pStyle w:val="a4"/>
              <w:spacing w:beforeAutospacing="0" w:after="210" w:afterAutospacing="0" w:line="285" w:lineRule="atLeast"/>
              <w:textAlignment w:val="baseline"/>
              <w:rPr>
                <w:rFonts w:eastAsia="monospace"/>
                <w:color w:val="000000"/>
                <w:sz w:val="28"/>
                <w:szCs w:val="28"/>
                <w:lang w:val="ru-RU"/>
              </w:rPr>
            </w:pP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Сервис цифровых документов доступен для пользователей, авторизованных в мобильном приложении.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>Для использования цифрового документа нео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бходимо пройти авторизацию в мобильном приложении с использованием электронно-цифровой подписи или одноразового пароля, далее перейти в раздел "Цифровые документы" и выбрать необходимый документ.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</w:r>
            <w:proofErr w:type="spellStart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Услугополучатель</w:t>
            </w:r>
            <w:proofErr w:type="spellEnd"/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 имеет возможность получения информации о по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 xml:space="preserve">рядке и статусе оказания государственной услуги в режиме удаленного 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lastRenderedPageBreak/>
              <w:t>доступа посредством "личного кабинета" портала, а также единого контакт-центра по вопросам оказания государственных услуг.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br/>
              <w:t>Контактные телефоны справочной службы по вопросам оказания госуда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рственной услуги: 8 (7172) 701 998, единого контакт-центра по вопросам оказания государственных услуг: 1414, 8</w:t>
            </w:r>
            <w:r>
              <w:rPr>
                <w:rFonts w:eastAsia="monospace"/>
                <w:color w:val="000000"/>
                <w:sz w:val="28"/>
                <w:szCs w:val="28"/>
              </w:rPr>
              <w:t> 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800</w:t>
            </w:r>
            <w:r>
              <w:rPr>
                <w:rFonts w:eastAsia="monospace"/>
                <w:color w:val="000000"/>
                <w:sz w:val="28"/>
                <w:szCs w:val="28"/>
              </w:rPr>
              <w:t> </w:t>
            </w:r>
            <w:r w:rsidRPr="00722906">
              <w:rPr>
                <w:rFonts w:eastAsia="monospace"/>
                <w:color w:val="000000"/>
                <w:sz w:val="28"/>
                <w:szCs w:val="28"/>
                <w:lang w:val="ru-RU"/>
              </w:rPr>
              <w:t>080 7777.</w:t>
            </w:r>
            <w:r w:rsidRPr="00722906">
              <w:rPr>
                <w:rFonts w:eastAsia="monospace"/>
                <w:color w:val="000000"/>
                <w:sz w:val="28"/>
                <w:szCs w:val="28"/>
                <w:bdr w:val="single" w:sz="6" w:space="0" w:color="CFCFCF"/>
                <w:shd w:val="clear" w:color="auto" w:fill="FFFFFF"/>
                <w:lang w:val="ru-RU"/>
              </w:rPr>
              <w:t>Скачать</w:t>
            </w:r>
          </w:p>
        </w:tc>
      </w:tr>
    </w:tbl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D2DE7" w:rsidRPr="00722906" w:rsidRDefault="007D2DE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7D2DE7" w:rsidRPr="0072290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  <w:font w:name="monospace">
    <w:altName w:val="Segoe Print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409B7"/>
    <w:rsid w:val="00722906"/>
    <w:rsid w:val="007D2DE7"/>
    <w:rsid w:val="54A272EF"/>
    <w:rsid w:val="7904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00650F"/>
  <w15:docId w15:val="{59C83CC2-245A-4705-8031-60FBCC110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3">
    <w:name w:val="heading 3"/>
    <w:next w:val="a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ilet.zan.kz/rus/docs/Z1300000094" TargetMode="External"/><Relationship Id="rId4" Type="http://schemas.openxmlformats.org/officeDocument/2006/relationships/hyperlink" Target="https://adilet.zan.kz/rus/docs/V1500011127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5149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aida_</dc:creator>
  <cp:lastModifiedBy>Сымбат Кажигалиева</cp:lastModifiedBy>
  <cp:revision>3</cp:revision>
  <dcterms:created xsi:type="dcterms:W3CDTF">2024-09-27T05:51:00Z</dcterms:created>
  <dcterms:modified xsi:type="dcterms:W3CDTF">2025-06-05T04:48:00Z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2D9F9A7393724D8E94F1CB7F6251B022_11</vt:lpwstr>
  </property>
</Properties>
</file>